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B9" w:rsidRPr="00D96BB9" w:rsidRDefault="00D96BB9" w:rsidP="00D96BB9">
      <w:r w:rsidRPr="00D96BB9">
        <w:rPr>
          <w:b/>
        </w:rPr>
        <w:t>Product name</w:t>
      </w:r>
      <w:r w:rsidR="00E46FEB">
        <w:rPr>
          <w:b/>
        </w:rPr>
        <w:t xml:space="preserve"> </w:t>
      </w:r>
      <w:r w:rsidR="00E46FEB" w:rsidRPr="00E46FEB">
        <w:t>Safari 20SG</w:t>
      </w:r>
      <w:r w:rsidRPr="00D96BB9">
        <w:tab/>
      </w:r>
      <w:r w:rsidRPr="00D96BB9">
        <w:tab/>
      </w:r>
    </w:p>
    <w:p w:rsidR="00D96BB9" w:rsidRPr="00D96BB9" w:rsidRDefault="00D96BB9" w:rsidP="00D96BB9">
      <w:r w:rsidRPr="00D96BB9">
        <w:rPr>
          <w:b/>
        </w:rPr>
        <w:t xml:space="preserve">EPA </w:t>
      </w:r>
      <w:proofErr w:type="spellStart"/>
      <w:r w:rsidRPr="00D96BB9">
        <w:rPr>
          <w:b/>
        </w:rPr>
        <w:t>Reg</w:t>
      </w:r>
      <w:proofErr w:type="spellEnd"/>
      <w:r w:rsidRPr="00D96BB9">
        <w:rPr>
          <w:b/>
        </w:rPr>
        <w:t xml:space="preserve"> #</w:t>
      </w:r>
      <w:r w:rsidR="00E46FEB">
        <w:rPr>
          <w:b/>
        </w:rPr>
        <w:t xml:space="preserve"> </w:t>
      </w:r>
      <w:r w:rsidR="00E46FEB" w:rsidRPr="00E46FEB">
        <w:t>86203-11-59639</w:t>
      </w:r>
    </w:p>
    <w:p w:rsidR="00D96BB9" w:rsidRPr="00D96BB9" w:rsidRDefault="00D96BB9" w:rsidP="00D96BB9">
      <w:r w:rsidRPr="00D96BB9">
        <w:rPr>
          <w:b/>
        </w:rPr>
        <w:t>Manufacture</w:t>
      </w:r>
      <w:r w:rsidR="00E46FEB">
        <w:rPr>
          <w:b/>
        </w:rPr>
        <w:t xml:space="preserve"> </w:t>
      </w:r>
      <w:proofErr w:type="spellStart"/>
      <w:r w:rsidR="00E46FEB" w:rsidRPr="00E46FEB">
        <w:t>Valent</w:t>
      </w:r>
      <w:proofErr w:type="spellEnd"/>
      <w:r w:rsidRPr="00E46FEB">
        <w:tab/>
      </w:r>
    </w:p>
    <w:p w:rsidR="00D96BB9" w:rsidRPr="00D96BB9" w:rsidRDefault="00D96BB9" w:rsidP="00D96BB9">
      <w:r w:rsidRPr="00D96BB9">
        <w:rPr>
          <w:b/>
        </w:rPr>
        <w:t>Active Ingredient</w:t>
      </w:r>
      <w:r w:rsidR="00E46FEB">
        <w:rPr>
          <w:b/>
        </w:rPr>
        <w:t xml:space="preserve"> </w:t>
      </w:r>
      <w:proofErr w:type="spellStart"/>
      <w:r w:rsidR="00E46FEB" w:rsidRPr="00E46FEB">
        <w:t>Dinotefuran</w:t>
      </w:r>
      <w:proofErr w:type="spellEnd"/>
      <w:r w:rsidRPr="00E46FEB">
        <w:tab/>
      </w:r>
    </w:p>
    <w:p w:rsidR="00D96BB9" w:rsidRPr="00E46FEB" w:rsidRDefault="00D96BB9" w:rsidP="00D96BB9">
      <w:r w:rsidRPr="00D96BB9">
        <w:rPr>
          <w:b/>
        </w:rPr>
        <w:t>Signal Word</w:t>
      </w:r>
      <w:r w:rsidR="00E46FEB">
        <w:rPr>
          <w:b/>
        </w:rPr>
        <w:t xml:space="preserve"> </w:t>
      </w:r>
      <w:r w:rsidR="00E46FEB" w:rsidRPr="00E46FEB">
        <w:t>Caution</w:t>
      </w:r>
    </w:p>
    <w:p w:rsidR="00D96BB9" w:rsidRPr="00D96BB9" w:rsidRDefault="00D96BB9" w:rsidP="00D96BB9">
      <w:r w:rsidRPr="00D96BB9">
        <w:rPr>
          <w:b/>
        </w:rPr>
        <w:t>Emergency phone</w:t>
      </w:r>
      <w:r w:rsidRPr="00D96BB9">
        <w:t xml:space="preserve"> </w:t>
      </w:r>
      <w:proofErr w:type="gramStart"/>
      <w:r w:rsidRPr="00D96BB9">
        <w:t>#</w:t>
      </w:r>
      <w:r w:rsidR="00E46FEB">
        <w:t xml:space="preserve"> </w:t>
      </w:r>
      <w:r w:rsidRPr="00D96BB9">
        <w:t xml:space="preserve"> </w:t>
      </w:r>
      <w:r w:rsidR="00E46FEB" w:rsidRPr="00E46FEB">
        <w:t>800</w:t>
      </w:r>
      <w:proofErr w:type="gramEnd"/>
      <w:r w:rsidR="00E46FEB" w:rsidRPr="00E46FEB">
        <w:t>-892-0099</w:t>
      </w:r>
      <w:r w:rsidRPr="00D96BB9">
        <w:tab/>
      </w:r>
    </w:p>
    <w:p w:rsidR="00D96BB9" w:rsidRPr="00D96BB9" w:rsidRDefault="00D96BB9" w:rsidP="00D96BB9"/>
    <w:p w:rsidR="00D96BB9" w:rsidRPr="00D96BB9" w:rsidRDefault="00D96BB9" w:rsidP="00D96BB9">
      <w:r w:rsidRPr="00D96BB9">
        <w:rPr>
          <w:b/>
        </w:rPr>
        <w:t>Precautionary statements</w:t>
      </w:r>
      <w:r w:rsidRPr="00D96BB9">
        <w:t xml:space="preserve">: </w:t>
      </w:r>
    </w:p>
    <w:p w:rsidR="00D96BB9" w:rsidRDefault="00D96BB9" w:rsidP="00D96BB9">
      <w:pPr>
        <w:rPr>
          <w:b/>
        </w:rPr>
      </w:pPr>
      <w:r w:rsidRPr="00D96BB9">
        <w:rPr>
          <w:b/>
        </w:rPr>
        <w:t>Human and Animal</w:t>
      </w:r>
      <w:r w:rsidRPr="00D96BB9">
        <w:rPr>
          <w:b/>
        </w:rPr>
        <w:tab/>
      </w:r>
    </w:p>
    <w:p w:rsidR="00E46FEB" w:rsidRDefault="00E46FEB" w:rsidP="00E46FEB">
      <w:pPr>
        <w:spacing w:after="0"/>
      </w:pPr>
      <w:proofErr w:type="gramStart"/>
      <w:r>
        <w:t xml:space="preserve">Harmful if swallowed </w:t>
      </w:r>
      <w:r>
        <w:t>or absorbed through skin.</w:t>
      </w:r>
      <w:proofErr w:type="gramEnd"/>
      <w:r>
        <w:t xml:space="preserve"> Avoid </w:t>
      </w:r>
      <w:r>
        <w:t>contact with eyes, sk</w:t>
      </w:r>
      <w:r>
        <w:t xml:space="preserve">in or clothing. Wash thoroughly </w:t>
      </w:r>
      <w:r>
        <w:t>with soap and water af</w:t>
      </w:r>
      <w:r>
        <w:t xml:space="preserve">ter handling and before eating, </w:t>
      </w:r>
      <w:r>
        <w:t xml:space="preserve">drinking, </w:t>
      </w:r>
      <w:proofErr w:type="gramStart"/>
      <w:r>
        <w:t>chew</w:t>
      </w:r>
      <w:r>
        <w:t>ing</w:t>
      </w:r>
      <w:proofErr w:type="gramEnd"/>
      <w:r>
        <w:t xml:space="preserve"> gum, using tobacco or using </w:t>
      </w:r>
      <w:r>
        <w:t xml:space="preserve">the toilet. Causes </w:t>
      </w:r>
      <w:r>
        <w:t xml:space="preserve">moderate eye irritation. Remove </w:t>
      </w:r>
      <w:r>
        <w:t>and wa</w:t>
      </w:r>
      <w:r>
        <w:t xml:space="preserve">sh contaminated clothing before </w:t>
      </w:r>
      <w:r>
        <w:t>reuse.</w:t>
      </w:r>
    </w:p>
    <w:p w:rsidR="00E46FEB" w:rsidRPr="00D96BB9" w:rsidRDefault="00E46FEB" w:rsidP="00E46FEB">
      <w:pPr>
        <w:spacing w:after="0"/>
      </w:pPr>
    </w:p>
    <w:p w:rsidR="00D96BB9" w:rsidRDefault="00D96BB9" w:rsidP="00D96BB9">
      <w:pPr>
        <w:rPr>
          <w:b/>
        </w:rPr>
      </w:pPr>
      <w:r w:rsidRPr="00D96BB9">
        <w:rPr>
          <w:b/>
        </w:rPr>
        <w:t>Environmental</w:t>
      </w:r>
      <w:r w:rsidRPr="00D96BB9">
        <w:rPr>
          <w:b/>
        </w:rPr>
        <w:tab/>
      </w:r>
      <w:r w:rsidRPr="00D96BB9">
        <w:rPr>
          <w:b/>
        </w:rPr>
        <w:tab/>
      </w:r>
    </w:p>
    <w:p w:rsidR="00E46FEB" w:rsidRDefault="00E46FEB" w:rsidP="00E46FEB">
      <w:pPr>
        <w:spacing w:after="0"/>
      </w:pPr>
      <w:r>
        <w:t>This pesticide is tox</w:t>
      </w:r>
      <w:r>
        <w:t xml:space="preserve">ic to aquatic invertebrates. Do </w:t>
      </w:r>
      <w:r>
        <w:t>not apply directly to w</w:t>
      </w:r>
      <w:r>
        <w:t xml:space="preserve">ater, or to areas where surface </w:t>
      </w:r>
      <w:r>
        <w:t>water is present o</w:t>
      </w:r>
      <w:r>
        <w:t xml:space="preserve">r to intertidal areas below the </w:t>
      </w:r>
      <w:r>
        <w:t xml:space="preserve">mean high water </w:t>
      </w:r>
      <w:r>
        <w:t xml:space="preserve">mark. Do not apply when weather </w:t>
      </w:r>
      <w:r>
        <w:t>conditions favor drift from</w:t>
      </w:r>
      <w:r>
        <w:t xml:space="preserve"> treated areas. Drift </w:t>
      </w:r>
      <w:r>
        <w:t>and runoff from</w:t>
      </w:r>
      <w:r>
        <w:t xml:space="preserve"> treated areas may be hazardous </w:t>
      </w:r>
      <w:r>
        <w:t>to aquatic organis</w:t>
      </w:r>
      <w:r>
        <w:t xml:space="preserve">ms in water adjacent to treated </w:t>
      </w:r>
      <w:r>
        <w:t xml:space="preserve">areas. Do not dispose of equipment </w:t>
      </w:r>
      <w:proofErr w:type="spellStart"/>
      <w:r>
        <w:t>washwaters</w:t>
      </w:r>
      <w:proofErr w:type="spellEnd"/>
      <w:r>
        <w:t xml:space="preserve"> or</w:t>
      </w:r>
    </w:p>
    <w:p w:rsidR="00E46FEB" w:rsidRDefault="00E46FEB" w:rsidP="00E46FEB">
      <w:pPr>
        <w:spacing w:after="0"/>
      </w:pPr>
      <w:proofErr w:type="spellStart"/>
      <w:proofErr w:type="gramStart"/>
      <w:r>
        <w:t>rinsate</w:t>
      </w:r>
      <w:proofErr w:type="spellEnd"/>
      <w:proofErr w:type="gramEnd"/>
      <w:r>
        <w:t xml:space="preserve"> into</w:t>
      </w:r>
      <w:r>
        <w:t xml:space="preserve"> a natural drain or water body. </w:t>
      </w:r>
      <w:r>
        <w:t>This product is toxic to honey bees. The persistence</w:t>
      </w:r>
    </w:p>
    <w:p w:rsidR="00E46FEB" w:rsidRDefault="00E46FEB" w:rsidP="00E46FEB">
      <w:pPr>
        <w:spacing w:after="0"/>
      </w:pPr>
      <w:proofErr w:type="gramStart"/>
      <w:r>
        <w:t>of</w:t>
      </w:r>
      <w:proofErr w:type="gramEnd"/>
      <w:r>
        <w:t xml:space="preserve"> residues and potential r</w:t>
      </w:r>
      <w:r>
        <w:t xml:space="preserve">esidual toxicity of </w:t>
      </w:r>
      <w:proofErr w:type="spellStart"/>
      <w:r>
        <w:t>dinotefuran</w:t>
      </w:r>
      <w:proofErr w:type="spellEnd"/>
      <w:r>
        <w:t xml:space="preserve"> </w:t>
      </w:r>
      <w:r>
        <w:t>in nectar and pollen suggests the possibility of</w:t>
      </w:r>
      <w:r>
        <w:t xml:space="preserve"> </w:t>
      </w:r>
      <w:r>
        <w:t>chronic toxic risk to ho</w:t>
      </w:r>
      <w:r>
        <w:t xml:space="preserve">ney bee larvae and the eventual </w:t>
      </w:r>
      <w:r>
        <w:t>instability of the hive.</w:t>
      </w:r>
    </w:p>
    <w:p w:rsidR="00E46FEB" w:rsidRDefault="00E46FEB" w:rsidP="00E46FEB">
      <w:pPr>
        <w:spacing w:after="0"/>
      </w:pPr>
      <w:r>
        <w:t>• This product is toxic to bees exposed to residues</w:t>
      </w:r>
    </w:p>
    <w:p w:rsidR="00E46FEB" w:rsidRDefault="00E46FEB" w:rsidP="00E46FEB">
      <w:pPr>
        <w:spacing w:after="0"/>
      </w:pPr>
      <w:proofErr w:type="gramStart"/>
      <w:r>
        <w:t>for</w:t>
      </w:r>
      <w:proofErr w:type="gramEnd"/>
      <w:r>
        <w:t xml:space="preserve"> more than 38 hours following treatment.</w:t>
      </w:r>
    </w:p>
    <w:p w:rsidR="00E46FEB" w:rsidRDefault="00E46FEB" w:rsidP="00E46FEB">
      <w:pPr>
        <w:spacing w:after="0"/>
      </w:pPr>
      <w:r>
        <w:t>• Do not apply this produ</w:t>
      </w:r>
      <w:r>
        <w:t xml:space="preserve">ct to blooming, pollen-shedding </w:t>
      </w:r>
      <w:r>
        <w:t>or nectar-producing parts of plants if bees</w:t>
      </w:r>
    </w:p>
    <w:p w:rsidR="00E46FEB" w:rsidRDefault="00E46FEB" w:rsidP="00E46FEB">
      <w:pPr>
        <w:spacing w:after="0"/>
      </w:pPr>
      <w:proofErr w:type="gramStart"/>
      <w:r>
        <w:t>may</w:t>
      </w:r>
      <w:proofErr w:type="gramEnd"/>
      <w:r>
        <w:t xml:space="preserve"> forage on the </w:t>
      </w:r>
      <w:r>
        <w:t xml:space="preserve">plants during this time period, </w:t>
      </w:r>
      <w:r>
        <w:t>unless the application is made in response to a</w:t>
      </w:r>
    </w:p>
    <w:p w:rsidR="00E46FEB" w:rsidRDefault="00E46FEB" w:rsidP="00E46FEB">
      <w:pPr>
        <w:spacing w:after="0"/>
      </w:pPr>
      <w:proofErr w:type="gramStart"/>
      <w:r>
        <w:t>public</w:t>
      </w:r>
      <w:proofErr w:type="gramEnd"/>
      <w:r>
        <w:t xml:space="preserve"> health em</w:t>
      </w:r>
      <w:r>
        <w:t xml:space="preserve">ergency declared by appropriate state or federal authorities. </w:t>
      </w:r>
      <w:proofErr w:type="spellStart"/>
      <w:r>
        <w:t>Dinotefuran</w:t>
      </w:r>
      <w:proofErr w:type="spellEnd"/>
      <w:r>
        <w:t xml:space="preserve"> and </w:t>
      </w:r>
      <w:proofErr w:type="gramStart"/>
      <w:r>
        <w:t xml:space="preserve">its </w:t>
      </w:r>
      <w:proofErr w:type="spellStart"/>
      <w:r>
        <w:t>degr</w:t>
      </w:r>
      <w:r>
        <w:t>adate</w:t>
      </w:r>
      <w:proofErr w:type="spellEnd"/>
      <w:proofErr w:type="gramEnd"/>
      <w:r>
        <w:t xml:space="preserve">, MNG, have the properties </w:t>
      </w:r>
      <w:r>
        <w:t>and characteri</w:t>
      </w:r>
      <w:r>
        <w:t xml:space="preserve">stics associated with chemicals detected in </w:t>
      </w:r>
      <w:r>
        <w:t>groundwater. The high water solubility o</w:t>
      </w:r>
      <w:r>
        <w:t xml:space="preserve">f </w:t>
      </w:r>
      <w:proofErr w:type="spellStart"/>
      <w:r>
        <w:t>dinotefuran</w:t>
      </w:r>
      <w:proofErr w:type="spellEnd"/>
      <w:r>
        <w:t xml:space="preserve">, and </w:t>
      </w:r>
      <w:proofErr w:type="gramStart"/>
      <w:r>
        <w:t>its</w:t>
      </w:r>
      <w:proofErr w:type="gramEnd"/>
      <w:r>
        <w:t xml:space="preserve"> </w:t>
      </w:r>
      <w:proofErr w:type="spellStart"/>
      <w:r>
        <w:t>degradate</w:t>
      </w:r>
      <w:proofErr w:type="spellEnd"/>
      <w:r>
        <w:t>, MNG, coupled with</w:t>
      </w:r>
    </w:p>
    <w:p w:rsidR="00E46FEB" w:rsidRDefault="00E46FEB" w:rsidP="00E46FEB">
      <w:pPr>
        <w:spacing w:after="0"/>
      </w:pPr>
      <w:proofErr w:type="spellStart"/>
      <w:proofErr w:type="gramStart"/>
      <w:r>
        <w:t>its</w:t>
      </w:r>
      <w:proofErr w:type="spellEnd"/>
      <w:proofErr w:type="gramEnd"/>
      <w:r>
        <w:t xml:space="preserve"> very high mobility, a</w:t>
      </w:r>
      <w:r>
        <w:t xml:space="preserve">nd resistance to biodegradation </w:t>
      </w:r>
      <w:r>
        <w:t xml:space="preserve">indicates </w:t>
      </w:r>
      <w:r>
        <w:t xml:space="preserve">that this compound has a strong </w:t>
      </w:r>
      <w:r>
        <w:t xml:space="preserve">potential to leach </w:t>
      </w:r>
      <w:r>
        <w:t xml:space="preserve">to the subsurface under certain </w:t>
      </w:r>
      <w:r>
        <w:t>conditions as a result of label use. Use of this chemical</w:t>
      </w:r>
    </w:p>
    <w:p w:rsidR="00E46FEB" w:rsidRDefault="00E46FEB" w:rsidP="00E46FEB">
      <w:pPr>
        <w:spacing w:after="0"/>
      </w:pPr>
      <w:proofErr w:type="gramStart"/>
      <w:r>
        <w:t>in</w:t>
      </w:r>
      <w:proofErr w:type="gramEnd"/>
      <w:r>
        <w:t xml:space="preserve"> areas where so</w:t>
      </w:r>
      <w:r>
        <w:t xml:space="preserve">ils are permeable, particularly </w:t>
      </w:r>
      <w:r>
        <w:t>where the water table is shallow, may result in</w:t>
      </w:r>
    </w:p>
    <w:p w:rsidR="00E46FEB" w:rsidRDefault="00E46FEB" w:rsidP="00E46FEB">
      <w:pPr>
        <w:spacing w:after="0"/>
      </w:pPr>
      <w:proofErr w:type="gramStart"/>
      <w:r>
        <w:t>groundwater</w:t>
      </w:r>
      <w:proofErr w:type="gramEnd"/>
      <w:r>
        <w:t xml:space="preserve"> contamination.</w:t>
      </w:r>
    </w:p>
    <w:p w:rsidR="00E46FEB" w:rsidRPr="00D96BB9" w:rsidRDefault="00E46FEB" w:rsidP="00E46FEB">
      <w:pPr>
        <w:spacing w:after="0"/>
      </w:pPr>
    </w:p>
    <w:p w:rsidR="00E46FEB" w:rsidRDefault="00E46FEB" w:rsidP="00D96BB9">
      <w:pPr>
        <w:rPr>
          <w:b/>
        </w:rPr>
      </w:pPr>
    </w:p>
    <w:p w:rsidR="00D96BB9" w:rsidRDefault="00D96BB9" w:rsidP="00D96BB9">
      <w:pPr>
        <w:rPr>
          <w:b/>
        </w:rPr>
      </w:pPr>
      <w:r w:rsidRPr="00D96BB9">
        <w:rPr>
          <w:b/>
        </w:rPr>
        <w:lastRenderedPageBreak/>
        <w:t>First Aid</w:t>
      </w:r>
      <w:r w:rsidRPr="00D96BB9">
        <w:rPr>
          <w:b/>
        </w:rPr>
        <w:tab/>
      </w:r>
    </w:p>
    <w:p w:rsidR="00E46FEB" w:rsidRDefault="00E46FEB" w:rsidP="00E46FEB">
      <w:pPr>
        <w:spacing w:after="0"/>
      </w:pPr>
      <w:r>
        <w:t xml:space="preserve">If on skin </w:t>
      </w:r>
      <w:r>
        <w:t>or clothing:</w:t>
      </w:r>
    </w:p>
    <w:p w:rsidR="00E46FEB" w:rsidRDefault="00E46FEB" w:rsidP="00E46FEB">
      <w:pPr>
        <w:pStyle w:val="ListParagraph"/>
        <w:numPr>
          <w:ilvl w:val="0"/>
          <w:numId w:val="1"/>
        </w:numPr>
        <w:spacing w:after="0"/>
      </w:pPr>
      <w:r>
        <w:t>Take off contaminated clothing.</w:t>
      </w:r>
    </w:p>
    <w:p w:rsidR="00E46FEB" w:rsidRDefault="00E46FEB" w:rsidP="00E46FEB">
      <w:pPr>
        <w:pStyle w:val="ListParagraph"/>
        <w:numPr>
          <w:ilvl w:val="0"/>
          <w:numId w:val="1"/>
        </w:numPr>
        <w:spacing w:after="0"/>
      </w:pPr>
      <w:r>
        <w:t>Rinse skin immediately with plenty of</w:t>
      </w:r>
      <w:r>
        <w:t xml:space="preserve"> </w:t>
      </w:r>
      <w:r>
        <w:t>water for 15-20 minutes.</w:t>
      </w:r>
    </w:p>
    <w:p w:rsidR="00E46FEB" w:rsidRDefault="00E46FEB" w:rsidP="00E46FEB">
      <w:pPr>
        <w:pStyle w:val="ListParagraph"/>
        <w:numPr>
          <w:ilvl w:val="0"/>
          <w:numId w:val="1"/>
        </w:numPr>
        <w:spacing w:after="0"/>
      </w:pPr>
      <w:r>
        <w:t>Call a poison control center or doctor</w:t>
      </w:r>
      <w:r>
        <w:t xml:space="preserve"> </w:t>
      </w:r>
      <w:r>
        <w:t>for further treatment advice.</w:t>
      </w:r>
    </w:p>
    <w:p w:rsidR="00E46FEB" w:rsidRDefault="00E46FEB" w:rsidP="00E46FEB">
      <w:pPr>
        <w:spacing w:after="0"/>
      </w:pPr>
      <w:r>
        <w:t xml:space="preserve">If </w:t>
      </w:r>
      <w:r>
        <w:t>swallowed:</w:t>
      </w:r>
    </w:p>
    <w:p w:rsidR="00E46FEB" w:rsidRDefault="00E46FEB" w:rsidP="00E46FEB">
      <w:pPr>
        <w:pStyle w:val="ListParagraph"/>
        <w:numPr>
          <w:ilvl w:val="0"/>
          <w:numId w:val="2"/>
        </w:numPr>
        <w:spacing w:after="0"/>
      </w:pPr>
      <w:r>
        <w:t>Call poison control center or doctor</w:t>
      </w:r>
      <w:r>
        <w:t xml:space="preserve"> </w:t>
      </w:r>
      <w:r>
        <w:t>immediately for treatment advice.</w:t>
      </w:r>
    </w:p>
    <w:p w:rsidR="00E46FEB" w:rsidRDefault="00E46FEB" w:rsidP="00E46FEB">
      <w:pPr>
        <w:pStyle w:val="ListParagraph"/>
        <w:numPr>
          <w:ilvl w:val="0"/>
          <w:numId w:val="2"/>
        </w:numPr>
        <w:spacing w:after="0"/>
      </w:pPr>
      <w:r>
        <w:t>Do not induce vomiting unless told to do</w:t>
      </w:r>
      <w:r>
        <w:t xml:space="preserve"> </w:t>
      </w:r>
      <w:r>
        <w:t>so by the poison control center or doctor.</w:t>
      </w:r>
    </w:p>
    <w:p w:rsidR="00E46FEB" w:rsidRDefault="00E46FEB" w:rsidP="00E46FEB">
      <w:pPr>
        <w:pStyle w:val="ListParagraph"/>
        <w:numPr>
          <w:ilvl w:val="0"/>
          <w:numId w:val="2"/>
        </w:numPr>
        <w:spacing w:after="0"/>
      </w:pPr>
      <w:r>
        <w:t>Have person sip a glass of water if</w:t>
      </w:r>
      <w:r>
        <w:t xml:space="preserve"> </w:t>
      </w:r>
      <w:r>
        <w:t>able to swallow.</w:t>
      </w:r>
    </w:p>
    <w:p w:rsidR="00E46FEB" w:rsidRDefault="00E46FEB" w:rsidP="00E46FEB">
      <w:pPr>
        <w:pStyle w:val="ListParagraph"/>
        <w:numPr>
          <w:ilvl w:val="0"/>
          <w:numId w:val="2"/>
        </w:numPr>
        <w:spacing w:after="0"/>
      </w:pPr>
      <w:r>
        <w:t>Do not give anything by mouth to an</w:t>
      </w:r>
      <w:r>
        <w:t xml:space="preserve"> </w:t>
      </w:r>
      <w:r>
        <w:t>unconscious person.</w:t>
      </w:r>
    </w:p>
    <w:p w:rsidR="00E46FEB" w:rsidRDefault="00E46FEB" w:rsidP="00E46FEB">
      <w:pPr>
        <w:spacing w:after="0"/>
      </w:pPr>
      <w:r>
        <w:t xml:space="preserve">If in eyes: </w:t>
      </w:r>
    </w:p>
    <w:p w:rsidR="00E46FEB" w:rsidRDefault="00E46FEB" w:rsidP="00E46FEB">
      <w:pPr>
        <w:pStyle w:val="ListParagraph"/>
        <w:numPr>
          <w:ilvl w:val="0"/>
          <w:numId w:val="3"/>
        </w:numPr>
        <w:spacing w:after="0"/>
      </w:pPr>
      <w:r>
        <w:t>Hold eye open and rinse slowly and</w:t>
      </w:r>
      <w:r>
        <w:t xml:space="preserve"> </w:t>
      </w:r>
      <w:r>
        <w:t>gently with water for 15-20 minutes.</w:t>
      </w:r>
    </w:p>
    <w:p w:rsidR="00E46FEB" w:rsidRDefault="00E46FEB" w:rsidP="00E46FEB">
      <w:pPr>
        <w:pStyle w:val="ListParagraph"/>
        <w:numPr>
          <w:ilvl w:val="0"/>
          <w:numId w:val="3"/>
        </w:numPr>
        <w:spacing w:after="0"/>
      </w:pPr>
      <w:r>
        <w:t>Remove contact lenses, if present,</w:t>
      </w:r>
      <w:r>
        <w:t xml:space="preserve"> </w:t>
      </w:r>
      <w:r>
        <w:t>after the first 5 minutes, then continue</w:t>
      </w:r>
      <w:r>
        <w:t xml:space="preserve"> </w:t>
      </w:r>
      <w:r>
        <w:t>rinsing eye.</w:t>
      </w:r>
    </w:p>
    <w:p w:rsidR="00E46FEB" w:rsidRDefault="00E46FEB" w:rsidP="00E46FEB">
      <w:pPr>
        <w:pStyle w:val="ListParagraph"/>
        <w:numPr>
          <w:ilvl w:val="0"/>
          <w:numId w:val="3"/>
        </w:numPr>
        <w:spacing w:after="0"/>
      </w:pPr>
      <w:r>
        <w:t>Call a poison control center or doctor</w:t>
      </w:r>
      <w:r>
        <w:t xml:space="preserve"> </w:t>
      </w:r>
      <w:r>
        <w:t>for further treatment advice.</w:t>
      </w:r>
    </w:p>
    <w:p w:rsidR="00E46FEB" w:rsidRDefault="00E46FEB" w:rsidP="00E46FEB">
      <w:pPr>
        <w:spacing w:after="0"/>
      </w:pPr>
      <w:r>
        <w:t xml:space="preserve">If inhaled: </w:t>
      </w:r>
    </w:p>
    <w:p w:rsidR="00E46FEB" w:rsidRDefault="00E46FEB" w:rsidP="00E46FEB">
      <w:pPr>
        <w:pStyle w:val="ListParagraph"/>
        <w:numPr>
          <w:ilvl w:val="0"/>
          <w:numId w:val="4"/>
        </w:numPr>
        <w:spacing w:after="0"/>
      </w:pPr>
      <w:r>
        <w:t>Move person to fresh air.</w:t>
      </w:r>
    </w:p>
    <w:p w:rsidR="00E46FEB" w:rsidRDefault="00E46FEB" w:rsidP="00E46FEB">
      <w:pPr>
        <w:pStyle w:val="ListParagraph"/>
        <w:numPr>
          <w:ilvl w:val="0"/>
          <w:numId w:val="4"/>
        </w:numPr>
        <w:spacing w:after="0"/>
      </w:pPr>
      <w:r>
        <w:t>If person is not breathing, call 911 or</w:t>
      </w:r>
      <w:r>
        <w:t xml:space="preserve"> </w:t>
      </w:r>
      <w:r>
        <w:t xml:space="preserve">an ambulance, </w:t>
      </w:r>
      <w:proofErr w:type="gramStart"/>
      <w:r>
        <w:t>then</w:t>
      </w:r>
      <w:proofErr w:type="gramEnd"/>
      <w:r>
        <w:t xml:space="preserve"> give artificial respiration,</w:t>
      </w:r>
      <w:r>
        <w:t xml:space="preserve"> </w:t>
      </w:r>
      <w:r>
        <w:t>preferably mouth-to-mouth, if</w:t>
      </w:r>
      <w:r>
        <w:t xml:space="preserve"> </w:t>
      </w:r>
      <w:r>
        <w:t>possible.</w:t>
      </w:r>
    </w:p>
    <w:p w:rsidR="00E46FEB" w:rsidRDefault="00E46FEB" w:rsidP="00E46FEB">
      <w:pPr>
        <w:pStyle w:val="ListParagraph"/>
        <w:numPr>
          <w:ilvl w:val="0"/>
          <w:numId w:val="4"/>
        </w:numPr>
        <w:spacing w:after="0"/>
      </w:pPr>
      <w:r>
        <w:t>Call poison control center or doctor for</w:t>
      </w:r>
      <w:r>
        <w:t xml:space="preserve"> </w:t>
      </w:r>
      <w:r>
        <w:t>further treatment advice.</w:t>
      </w:r>
    </w:p>
    <w:p w:rsidR="00E46FEB" w:rsidRPr="00D96BB9" w:rsidRDefault="00E46FEB" w:rsidP="00E46FEB">
      <w:pPr>
        <w:pStyle w:val="ListParagraph"/>
        <w:numPr>
          <w:ilvl w:val="0"/>
          <w:numId w:val="4"/>
        </w:numPr>
        <w:spacing w:after="0"/>
      </w:pPr>
    </w:p>
    <w:p w:rsidR="00D96BB9" w:rsidRDefault="00D96BB9" w:rsidP="00D96BB9">
      <w:pPr>
        <w:rPr>
          <w:b/>
        </w:rPr>
      </w:pPr>
      <w:r w:rsidRPr="00D96BB9">
        <w:rPr>
          <w:b/>
        </w:rPr>
        <w:t>Re-entry information</w:t>
      </w:r>
      <w:r w:rsidRPr="00D96BB9">
        <w:rPr>
          <w:b/>
        </w:rPr>
        <w:tab/>
      </w:r>
    </w:p>
    <w:p w:rsidR="00E46FEB" w:rsidRPr="00D96BB9" w:rsidRDefault="00E46FEB" w:rsidP="00E46FEB">
      <w:pPr>
        <w:spacing w:after="0"/>
      </w:pPr>
      <w:r>
        <w:t>Do not allow othe</w:t>
      </w:r>
      <w:r>
        <w:t xml:space="preserve">rs to enter treated areas until </w:t>
      </w:r>
      <w:bookmarkStart w:id="0" w:name="_GoBack"/>
      <w:bookmarkEnd w:id="0"/>
      <w:r>
        <w:t>sprays have dried.</w:t>
      </w:r>
    </w:p>
    <w:p w:rsidR="00B05C91" w:rsidRDefault="00B05C91"/>
    <w:sectPr w:rsidR="00B05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1B0"/>
    <w:multiLevelType w:val="hybridMultilevel"/>
    <w:tmpl w:val="DD2A4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42BD5"/>
    <w:multiLevelType w:val="hybridMultilevel"/>
    <w:tmpl w:val="AE76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44B8F"/>
    <w:multiLevelType w:val="hybridMultilevel"/>
    <w:tmpl w:val="4912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83F07"/>
    <w:multiLevelType w:val="hybridMultilevel"/>
    <w:tmpl w:val="46D0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EB"/>
    <w:rsid w:val="00B05C91"/>
    <w:rsid w:val="00D96BB9"/>
    <w:rsid w:val="00E4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cker.TAMKETREE\AppData\Roaming\Microsoft\Templates\Product%20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Product name</Template>
  <TotalTime>13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Decker</dc:creator>
  <cp:lastModifiedBy>Keith Decker</cp:lastModifiedBy>
  <cp:revision>1</cp:revision>
  <dcterms:created xsi:type="dcterms:W3CDTF">2015-02-25T12:32:00Z</dcterms:created>
  <dcterms:modified xsi:type="dcterms:W3CDTF">2015-02-25T12:45:00Z</dcterms:modified>
</cp:coreProperties>
</file>